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附件3</w:t>
      </w:r>
    </w:p>
    <w:p>
      <w:pPr>
        <w:spacing w:line="400" w:lineRule="exact"/>
        <w:jc w:val="center"/>
        <w:rPr>
          <w:rFonts w:eastAsia="仿宋_GB2312"/>
          <w:b/>
          <w:color w:val="000000"/>
          <w:sz w:val="44"/>
          <w:szCs w:val="32"/>
        </w:rPr>
      </w:pPr>
    </w:p>
    <w:p>
      <w:pPr>
        <w:spacing w:line="600" w:lineRule="exact"/>
        <w:jc w:val="center"/>
        <w:rPr>
          <w:rFonts w:hint="eastAsia" w:ascii="宋体" w:hAnsi="宋体" w:cs="宋体"/>
          <w:b/>
          <w:bCs/>
          <w:color w:val="000000"/>
          <w:sz w:val="44"/>
          <w:szCs w:val="32"/>
        </w:rPr>
      </w:pPr>
      <w:r>
        <w:rPr>
          <w:rFonts w:hint="eastAsia" w:ascii="宋体" w:hAnsi="宋体" w:cs="宋体"/>
          <w:b/>
          <w:bCs/>
          <w:color w:val="000000"/>
          <w:sz w:val="44"/>
          <w:szCs w:val="32"/>
        </w:rPr>
        <w:t>教师职业能力大赛评审办法及评价表</w:t>
      </w:r>
    </w:p>
    <w:p>
      <w:pPr>
        <w:spacing w:line="600" w:lineRule="exact"/>
        <w:rPr>
          <w:rFonts w:eastAsia="仿宋_GB2312"/>
          <w:color w:val="000000"/>
          <w:sz w:val="32"/>
          <w:szCs w:val="32"/>
        </w:rPr>
      </w:pPr>
    </w:p>
    <w:p>
      <w:pPr>
        <w:spacing w:line="600" w:lineRule="exact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 xml:space="preserve">    </w:t>
      </w:r>
      <w:r>
        <w:rPr>
          <w:rFonts w:eastAsia="黑体"/>
          <w:color w:val="000000"/>
          <w:sz w:val="32"/>
          <w:szCs w:val="32"/>
        </w:rPr>
        <w:t>一、教学方案设计评审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楷体" w:hAnsi="楷体" w:eastAsia="楷体"/>
          <w:color w:val="000000"/>
          <w:sz w:val="32"/>
          <w:szCs w:val="32"/>
        </w:rPr>
        <w:t>（</w:t>
      </w:r>
      <w:r>
        <w:rPr>
          <w:rFonts w:hint="eastAsia" w:ascii="楷体" w:hAnsi="楷体" w:eastAsia="楷体"/>
          <w:color w:val="000000"/>
          <w:sz w:val="32"/>
          <w:szCs w:val="32"/>
        </w:rPr>
        <w:t>一</w:t>
      </w:r>
      <w:r>
        <w:rPr>
          <w:rFonts w:ascii="楷体" w:hAnsi="楷体" w:eastAsia="楷体"/>
          <w:color w:val="000000"/>
          <w:sz w:val="32"/>
          <w:szCs w:val="32"/>
        </w:rPr>
        <w:t>）评审内容。</w:t>
      </w:r>
      <w:r>
        <w:rPr>
          <w:rFonts w:ascii="仿宋" w:hAnsi="仿宋" w:eastAsia="仿宋"/>
          <w:color w:val="000000"/>
          <w:sz w:val="32"/>
          <w:szCs w:val="32"/>
        </w:rPr>
        <w:t>详见</w:t>
      </w:r>
      <w:r>
        <w:rPr>
          <w:rFonts w:hint="eastAsia" w:ascii="仿宋" w:hAnsi="仿宋" w:eastAsia="仿宋"/>
          <w:color w:val="000000"/>
          <w:sz w:val="32"/>
          <w:szCs w:val="32"/>
        </w:rPr>
        <w:t>“第一届</w:t>
      </w:r>
      <w:r>
        <w:rPr>
          <w:rFonts w:ascii="仿宋" w:hAnsi="仿宋" w:eastAsia="仿宋"/>
          <w:color w:val="000000"/>
          <w:sz w:val="32"/>
          <w:szCs w:val="32"/>
        </w:rPr>
        <w:t>全</w:t>
      </w:r>
      <w:r>
        <w:rPr>
          <w:rFonts w:hint="eastAsia" w:ascii="仿宋" w:hAnsi="仿宋" w:eastAsia="仿宋"/>
          <w:color w:val="000000"/>
          <w:sz w:val="32"/>
          <w:szCs w:val="32"/>
        </w:rPr>
        <w:t>省</w:t>
      </w:r>
      <w:r>
        <w:rPr>
          <w:rFonts w:ascii="仿宋" w:hAnsi="仿宋" w:eastAsia="仿宋"/>
          <w:color w:val="000000"/>
          <w:sz w:val="32"/>
          <w:szCs w:val="32"/>
        </w:rPr>
        <w:t>技工院校教师职业能力</w:t>
      </w:r>
      <w:r>
        <w:rPr>
          <w:rFonts w:hint="eastAsia" w:ascii="仿宋" w:hAnsi="仿宋" w:eastAsia="仿宋"/>
          <w:color w:val="000000"/>
          <w:sz w:val="32"/>
          <w:szCs w:val="32"/>
        </w:rPr>
        <w:t>大赛</w:t>
      </w:r>
      <w:r>
        <w:rPr>
          <w:rFonts w:ascii="仿宋" w:hAnsi="仿宋" w:eastAsia="仿宋"/>
          <w:color w:val="000000"/>
          <w:sz w:val="32"/>
          <w:szCs w:val="32"/>
        </w:rPr>
        <w:t>评价表</w:t>
      </w:r>
      <w:r>
        <w:rPr>
          <w:rFonts w:hint="eastAsia" w:ascii="仿宋" w:hAnsi="仿宋" w:eastAsia="仿宋"/>
          <w:color w:val="000000"/>
          <w:sz w:val="32"/>
          <w:szCs w:val="32"/>
        </w:rPr>
        <w:t>”</w:t>
      </w:r>
      <w:r>
        <w:rPr>
          <w:rFonts w:ascii="仿宋" w:hAnsi="仿宋" w:eastAsia="仿宋"/>
          <w:color w:val="000000"/>
          <w:sz w:val="32"/>
          <w:szCs w:val="32"/>
        </w:rPr>
        <w:t>。</w:t>
      </w:r>
    </w:p>
    <w:p>
      <w:pPr>
        <w:spacing w:line="600" w:lineRule="exact"/>
        <w:ind w:firstLine="643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b/>
          <w:color w:val="000000"/>
          <w:sz w:val="32"/>
          <w:szCs w:val="32"/>
        </w:rPr>
        <w:t>1.选题价值</w:t>
      </w:r>
      <w:r>
        <w:rPr>
          <w:rFonts w:ascii="仿宋" w:hAnsi="仿宋" w:eastAsia="仿宋"/>
          <w:b/>
          <w:color w:val="000000"/>
          <w:sz w:val="24"/>
        </w:rPr>
        <w:t>：</w:t>
      </w:r>
      <w:r>
        <w:rPr>
          <w:rFonts w:ascii="仿宋" w:hAnsi="仿宋" w:eastAsia="仿宋"/>
          <w:color w:val="000000"/>
          <w:sz w:val="32"/>
          <w:szCs w:val="32"/>
        </w:rPr>
        <w:t>选</w:t>
      </w:r>
      <w:r>
        <w:rPr>
          <w:rFonts w:hint="eastAsia" w:ascii="仿宋" w:hAnsi="仿宋" w:eastAsia="仿宋"/>
          <w:color w:val="000000"/>
          <w:sz w:val="32"/>
          <w:szCs w:val="32"/>
        </w:rPr>
        <w:t>取</w:t>
      </w:r>
      <w:r>
        <w:rPr>
          <w:rFonts w:ascii="仿宋" w:hAnsi="仿宋" w:eastAsia="仿宋"/>
          <w:color w:val="000000"/>
          <w:sz w:val="32"/>
          <w:szCs w:val="32"/>
        </w:rPr>
        <w:t>相对独立、完整的人文素质/职业学习活动或来自一体化课程学习任务的某一具体内容，具有典型性。</w:t>
      </w:r>
    </w:p>
    <w:p>
      <w:pPr>
        <w:spacing w:line="600" w:lineRule="exact"/>
        <w:ind w:firstLine="643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b/>
          <w:color w:val="000000"/>
          <w:sz w:val="32"/>
          <w:szCs w:val="32"/>
        </w:rPr>
        <w:t>2.学习目标：</w:t>
      </w:r>
      <w:r>
        <w:rPr>
          <w:rFonts w:ascii="仿宋" w:hAnsi="仿宋" w:eastAsia="仿宋"/>
          <w:color w:val="000000"/>
          <w:sz w:val="32"/>
          <w:szCs w:val="32"/>
        </w:rPr>
        <w:t>能够反映学生职业素养与综合职业能力的要求，并能结合学生实际，明确、具体且可操作性强。</w:t>
      </w:r>
    </w:p>
    <w:p>
      <w:pPr>
        <w:spacing w:line="600" w:lineRule="exact"/>
        <w:ind w:firstLine="643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b/>
          <w:color w:val="000000"/>
          <w:sz w:val="32"/>
          <w:szCs w:val="32"/>
        </w:rPr>
        <w:t>3.学习内容：</w:t>
      </w:r>
      <w:r>
        <w:rPr>
          <w:rFonts w:ascii="仿宋" w:hAnsi="仿宋" w:eastAsia="仿宋"/>
          <w:color w:val="000000"/>
          <w:sz w:val="32"/>
          <w:szCs w:val="32"/>
        </w:rPr>
        <w:t>包括理论知识</w:t>
      </w:r>
      <w:r>
        <w:rPr>
          <w:rFonts w:hint="eastAsia" w:ascii="仿宋" w:hAnsi="仿宋" w:eastAsia="仿宋"/>
          <w:color w:val="000000"/>
          <w:sz w:val="32"/>
          <w:szCs w:val="32"/>
        </w:rPr>
        <w:t>、</w:t>
      </w:r>
      <w:r>
        <w:rPr>
          <w:rFonts w:ascii="仿宋" w:hAnsi="仿宋" w:eastAsia="仿宋"/>
          <w:color w:val="000000"/>
          <w:sz w:val="32"/>
          <w:szCs w:val="32"/>
        </w:rPr>
        <w:t>实践知识及工作的各项要素要求，与人文素质养成或企业生产过程紧密相关。</w:t>
      </w:r>
    </w:p>
    <w:p>
      <w:pPr>
        <w:spacing w:line="600" w:lineRule="exact"/>
        <w:ind w:firstLine="643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b/>
          <w:color w:val="000000"/>
          <w:sz w:val="32"/>
          <w:szCs w:val="32"/>
        </w:rPr>
        <w:t>4.学习资源</w:t>
      </w:r>
      <w:r>
        <w:rPr>
          <w:rFonts w:ascii="仿宋" w:hAnsi="仿宋" w:eastAsia="仿宋"/>
          <w:b/>
          <w:color w:val="000000"/>
          <w:sz w:val="24"/>
        </w:rPr>
        <w:t>：</w:t>
      </w:r>
      <w:r>
        <w:rPr>
          <w:rFonts w:ascii="仿宋" w:hAnsi="仿宋" w:eastAsia="仿宋"/>
          <w:color w:val="000000"/>
          <w:sz w:val="32"/>
          <w:szCs w:val="32"/>
        </w:rPr>
        <w:t>学习资源设计能体现学生在问题引导下的学习，学习环境设计与社会生活或工作环境要求尽可能相一致。</w:t>
      </w:r>
    </w:p>
    <w:p>
      <w:pPr>
        <w:spacing w:line="600" w:lineRule="exact"/>
        <w:ind w:firstLine="643" w:firstLineChars="200"/>
        <w:rPr>
          <w:rFonts w:ascii="仿宋" w:hAnsi="仿宋" w:eastAsia="仿宋"/>
          <w:color w:val="000000"/>
          <w:sz w:val="24"/>
        </w:rPr>
      </w:pPr>
      <w:r>
        <w:rPr>
          <w:rFonts w:ascii="仿宋" w:hAnsi="仿宋" w:eastAsia="仿宋"/>
          <w:b/>
          <w:bCs/>
          <w:color w:val="000000"/>
          <w:sz w:val="32"/>
          <w:szCs w:val="32"/>
        </w:rPr>
        <w:t>5.学生投入：</w:t>
      </w:r>
      <w:r>
        <w:rPr>
          <w:rFonts w:ascii="仿宋" w:hAnsi="仿宋" w:eastAsia="仿宋"/>
          <w:color w:val="000000"/>
          <w:sz w:val="32"/>
          <w:szCs w:val="32"/>
        </w:rPr>
        <w:t>学习氛围良好，学生的学习积极性高，对学习感兴趣，能积极有效地投入到学习活动中。</w:t>
      </w:r>
    </w:p>
    <w:p>
      <w:pPr>
        <w:spacing w:line="600" w:lineRule="exact"/>
        <w:ind w:firstLine="643" w:firstLineChars="200"/>
        <w:rPr>
          <w:rFonts w:ascii="仿宋" w:hAnsi="仿宋" w:eastAsia="仿宋"/>
          <w:b/>
          <w:color w:val="000000"/>
          <w:sz w:val="32"/>
          <w:szCs w:val="32"/>
        </w:rPr>
      </w:pPr>
      <w:r>
        <w:rPr>
          <w:rFonts w:ascii="仿宋" w:hAnsi="仿宋" w:eastAsia="仿宋"/>
          <w:b/>
          <w:bCs/>
          <w:color w:val="000000"/>
          <w:sz w:val="32"/>
          <w:szCs w:val="32"/>
        </w:rPr>
        <w:t>6.教学手段：</w:t>
      </w:r>
      <w:r>
        <w:rPr>
          <w:rFonts w:ascii="仿宋" w:hAnsi="仿宋" w:eastAsia="仿宋"/>
          <w:color w:val="000000"/>
          <w:sz w:val="32"/>
          <w:szCs w:val="32"/>
        </w:rPr>
        <w:t>有效支持学习活动的开展，利用多种教学媒体以及信息化手段和数字化资源，选择与组合好，新颖、富有创意。</w:t>
      </w:r>
    </w:p>
    <w:p>
      <w:pPr>
        <w:spacing w:line="600" w:lineRule="exact"/>
        <w:ind w:firstLine="643" w:firstLineChars="200"/>
        <w:rPr>
          <w:rFonts w:ascii="仿宋" w:hAnsi="仿宋" w:eastAsia="仿宋"/>
          <w:color w:val="000000"/>
          <w:sz w:val="24"/>
        </w:rPr>
      </w:pPr>
      <w:r>
        <w:rPr>
          <w:rFonts w:ascii="仿宋" w:hAnsi="仿宋" w:eastAsia="仿宋"/>
          <w:b/>
          <w:bCs/>
          <w:color w:val="000000"/>
          <w:sz w:val="32"/>
          <w:szCs w:val="32"/>
        </w:rPr>
        <w:t>7.教学方法</w:t>
      </w:r>
      <w:r>
        <w:rPr>
          <w:rFonts w:ascii="仿宋" w:hAnsi="仿宋" w:eastAsia="仿宋"/>
          <w:b/>
          <w:bCs/>
          <w:color w:val="000000"/>
          <w:sz w:val="24"/>
        </w:rPr>
        <w:t>：</w:t>
      </w:r>
      <w:r>
        <w:rPr>
          <w:rFonts w:ascii="仿宋" w:hAnsi="仿宋" w:eastAsia="仿宋"/>
          <w:color w:val="000000"/>
          <w:sz w:val="32"/>
          <w:szCs w:val="32"/>
        </w:rPr>
        <w:t>体现以学生为中心、行动导向的教学理念，采用混合式学习，重视学生的适应与接纳，形式灵活</w:t>
      </w:r>
      <w:r>
        <w:rPr>
          <w:rFonts w:hint="eastAsia" w:ascii="仿宋" w:hAnsi="仿宋" w:eastAsia="仿宋"/>
          <w:color w:val="000000"/>
          <w:sz w:val="32"/>
          <w:szCs w:val="32"/>
        </w:rPr>
        <w:t>，</w:t>
      </w:r>
      <w:r>
        <w:rPr>
          <w:rFonts w:ascii="仿宋" w:hAnsi="仿宋" w:eastAsia="仿宋"/>
          <w:color w:val="000000"/>
          <w:sz w:val="32"/>
          <w:szCs w:val="32"/>
        </w:rPr>
        <w:t>方法有效。</w:t>
      </w:r>
    </w:p>
    <w:p>
      <w:pPr>
        <w:spacing w:line="600" w:lineRule="exact"/>
        <w:ind w:firstLine="643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b/>
          <w:bCs/>
          <w:color w:val="000000"/>
          <w:sz w:val="32"/>
          <w:szCs w:val="32"/>
        </w:rPr>
        <w:t>8.</w:t>
      </w:r>
      <w:r>
        <w:rPr>
          <w:rFonts w:ascii="仿宋" w:hAnsi="仿宋" w:eastAsia="仿宋"/>
          <w:b/>
          <w:color w:val="000000"/>
          <w:sz w:val="32"/>
          <w:szCs w:val="32"/>
        </w:rPr>
        <w:t>教学视频</w:t>
      </w:r>
      <w:r>
        <w:rPr>
          <w:rFonts w:ascii="仿宋" w:hAnsi="仿宋" w:eastAsia="仿宋"/>
          <w:color w:val="000000"/>
          <w:sz w:val="32"/>
          <w:szCs w:val="32"/>
        </w:rPr>
        <w:t>：节选视频时长不超过8分钟，视频声音清楚、画面清晰、图像稳定，声音与画面同步，反映学与教的情况。</w:t>
      </w:r>
    </w:p>
    <w:p>
      <w:pPr>
        <w:spacing w:line="600" w:lineRule="exact"/>
        <w:ind w:firstLine="643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b/>
          <w:bCs/>
          <w:color w:val="000000"/>
          <w:sz w:val="32"/>
          <w:szCs w:val="32"/>
        </w:rPr>
        <w:t>9.</w:t>
      </w:r>
      <w:r>
        <w:rPr>
          <w:rFonts w:ascii="仿宋" w:hAnsi="仿宋" w:eastAsia="仿宋"/>
          <w:b/>
          <w:color w:val="000000"/>
          <w:sz w:val="32"/>
          <w:szCs w:val="32"/>
        </w:rPr>
        <w:t>学业评价：</w:t>
      </w:r>
      <w:r>
        <w:rPr>
          <w:rFonts w:ascii="仿宋" w:hAnsi="仿宋" w:eastAsia="仿宋"/>
          <w:color w:val="000000"/>
          <w:sz w:val="32"/>
          <w:szCs w:val="32"/>
        </w:rPr>
        <w:t>评价方式方法合理，易于操作，能有效解决实际教学问题，促进学生思维提升和素养与综合职业能力的提高。</w:t>
      </w:r>
    </w:p>
    <w:p>
      <w:pPr>
        <w:spacing w:line="600" w:lineRule="exact"/>
        <w:ind w:firstLine="643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b/>
          <w:bCs/>
          <w:color w:val="000000"/>
          <w:sz w:val="32"/>
          <w:szCs w:val="32"/>
        </w:rPr>
        <w:t>10.</w:t>
      </w:r>
      <w:r>
        <w:rPr>
          <w:rFonts w:ascii="仿宋" w:hAnsi="仿宋" w:eastAsia="仿宋"/>
          <w:b/>
          <w:color w:val="000000"/>
          <w:sz w:val="32"/>
          <w:szCs w:val="32"/>
        </w:rPr>
        <w:t>教学方案文本：</w:t>
      </w:r>
      <w:r>
        <w:rPr>
          <w:rFonts w:ascii="仿宋" w:hAnsi="仿宋" w:eastAsia="仿宋"/>
          <w:color w:val="000000"/>
          <w:sz w:val="32"/>
          <w:szCs w:val="32"/>
        </w:rPr>
        <w:t>所提交的教学设计文本</w:t>
      </w:r>
      <w:r>
        <w:rPr>
          <w:rFonts w:hint="eastAsia" w:ascii="仿宋" w:hAnsi="仿宋" w:eastAsia="仿宋"/>
          <w:color w:val="000000"/>
          <w:sz w:val="32"/>
          <w:szCs w:val="32"/>
        </w:rPr>
        <w:t>及</w:t>
      </w:r>
      <w:r>
        <w:rPr>
          <w:rFonts w:ascii="仿宋" w:hAnsi="仿宋" w:eastAsia="仿宋"/>
          <w:color w:val="000000"/>
          <w:sz w:val="32"/>
          <w:szCs w:val="32"/>
        </w:rPr>
        <w:t>教学视频体例规范，内容全面，文字通顺，图表符合技术规范，表述清晰。</w:t>
      </w:r>
    </w:p>
    <w:p>
      <w:pPr>
        <w:spacing w:line="60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二、说课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参赛选手现场进行说课，评委现场评分。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楷体" w:hAnsi="楷体" w:eastAsia="楷体"/>
          <w:color w:val="000000"/>
          <w:sz w:val="32"/>
          <w:szCs w:val="32"/>
        </w:rPr>
        <w:t>（</w:t>
      </w:r>
      <w:r>
        <w:rPr>
          <w:rFonts w:hint="eastAsia" w:ascii="楷体" w:hAnsi="楷体" w:eastAsia="楷体"/>
          <w:color w:val="000000"/>
          <w:sz w:val="32"/>
          <w:szCs w:val="32"/>
        </w:rPr>
        <w:t>一</w:t>
      </w:r>
      <w:r>
        <w:rPr>
          <w:rFonts w:ascii="楷体" w:hAnsi="楷体" w:eastAsia="楷体"/>
          <w:color w:val="000000"/>
          <w:sz w:val="32"/>
          <w:szCs w:val="32"/>
        </w:rPr>
        <w:t>）评分分值。</w:t>
      </w:r>
      <w:r>
        <w:rPr>
          <w:rFonts w:ascii="仿宋" w:hAnsi="仿宋" w:eastAsia="仿宋"/>
          <w:color w:val="000000"/>
          <w:sz w:val="32"/>
          <w:szCs w:val="32"/>
        </w:rPr>
        <w:t>评分采取百分制，10项指标，每项评价指标</w:t>
      </w:r>
      <w:r>
        <w:rPr>
          <w:rFonts w:hint="eastAsia" w:ascii="仿宋" w:hAnsi="仿宋" w:eastAsia="仿宋"/>
          <w:color w:val="000000"/>
          <w:sz w:val="32"/>
          <w:szCs w:val="32"/>
        </w:rPr>
        <w:t>满分</w:t>
      </w:r>
      <w:r>
        <w:rPr>
          <w:rFonts w:ascii="仿宋" w:hAnsi="仿宋" w:eastAsia="仿宋"/>
          <w:color w:val="000000"/>
          <w:sz w:val="32"/>
          <w:szCs w:val="32"/>
        </w:rPr>
        <w:t>均为10分。</w:t>
      </w:r>
    </w:p>
    <w:p>
      <w:pPr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ascii="楷体" w:hAnsi="楷体" w:eastAsia="楷体"/>
          <w:color w:val="000000"/>
          <w:sz w:val="32"/>
          <w:szCs w:val="32"/>
        </w:rPr>
        <w:t>（</w:t>
      </w:r>
      <w:r>
        <w:rPr>
          <w:rFonts w:hint="eastAsia" w:ascii="楷体" w:hAnsi="楷体" w:eastAsia="楷体"/>
          <w:color w:val="000000"/>
          <w:sz w:val="32"/>
          <w:szCs w:val="32"/>
        </w:rPr>
        <w:t>二</w:t>
      </w:r>
      <w:r>
        <w:rPr>
          <w:rFonts w:ascii="楷体" w:hAnsi="楷体" w:eastAsia="楷体"/>
          <w:color w:val="000000"/>
          <w:sz w:val="32"/>
          <w:szCs w:val="32"/>
        </w:rPr>
        <w:t>）评审成绩。</w:t>
      </w:r>
      <w:r>
        <w:rPr>
          <w:rFonts w:hint="eastAsia" w:ascii="仿宋" w:hAnsi="仿宋" w:eastAsia="仿宋"/>
          <w:color w:val="000000"/>
          <w:sz w:val="32"/>
          <w:szCs w:val="32"/>
        </w:rPr>
        <w:t>评委</w:t>
      </w:r>
      <w:r>
        <w:rPr>
          <w:rFonts w:ascii="仿宋" w:hAnsi="仿宋" w:eastAsia="仿宋"/>
          <w:color w:val="000000"/>
          <w:sz w:val="32"/>
          <w:szCs w:val="32"/>
        </w:rPr>
        <w:t>现场打分，去掉一个最高分和一个最低分，剩余的平均分为参赛选手的最后成绩。</w:t>
      </w:r>
    </w:p>
    <w:p>
      <w:pPr>
        <w:spacing w:line="600" w:lineRule="exact"/>
        <w:ind w:firstLine="640" w:firstLineChars="200"/>
        <w:rPr>
          <w:rFonts w:hint="eastAsia" w:eastAsia="仿宋_GB2312"/>
          <w:color w:val="000000"/>
          <w:sz w:val="32"/>
          <w:szCs w:val="32"/>
        </w:rPr>
      </w:pPr>
      <w:r>
        <w:rPr>
          <w:rFonts w:ascii="楷体" w:hAnsi="楷体" w:eastAsia="楷体"/>
          <w:color w:val="000000"/>
          <w:sz w:val="32"/>
          <w:szCs w:val="32"/>
        </w:rPr>
        <w:t>（</w:t>
      </w:r>
      <w:r>
        <w:rPr>
          <w:rFonts w:hint="eastAsia" w:ascii="楷体" w:hAnsi="楷体" w:eastAsia="楷体"/>
          <w:color w:val="000000"/>
          <w:sz w:val="32"/>
          <w:szCs w:val="32"/>
        </w:rPr>
        <w:t>三</w:t>
      </w:r>
      <w:r>
        <w:rPr>
          <w:rFonts w:ascii="楷体" w:hAnsi="楷体" w:eastAsia="楷体"/>
          <w:color w:val="000000"/>
          <w:sz w:val="32"/>
          <w:szCs w:val="32"/>
        </w:rPr>
        <w:t>）</w:t>
      </w:r>
      <w:r>
        <w:rPr>
          <w:rFonts w:hint="eastAsia" w:ascii="楷体" w:hAnsi="楷体" w:eastAsia="楷体"/>
          <w:color w:val="000000"/>
          <w:sz w:val="32"/>
          <w:szCs w:val="32"/>
        </w:rPr>
        <w:t>说课</w:t>
      </w:r>
      <w:r>
        <w:rPr>
          <w:rFonts w:ascii="楷体" w:hAnsi="楷体" w:eastAsia="楷体"/>
          <w:color w:val="000000"/>
          <w:sz w:val="32"/>
          <w:szCs w:val="32"/>
        </w:rPr>
        <w:t>。</w:t>
      </w:r>
      <w:r>
        <w:rPr>
          <w:rFonts w:ascii="仿宋" w:hAnsi="仿宋" w:eastAsia="仿宋"/>
          <w:color w:val="000000"/>
          <w:sz w:val="32"/>
          <w:szCs w:val="32"/>
        </w:rPr>
        <w:t>每位参赛选手说课时间为1</w:t>
      </w:r>
      <w:r>
        <w:rPr>
          <w:rFonts w:hint="eastAsia" w:ascii="仿宋" w:hAnsi="仿宋" w:eastAsia="仿宋"/>
          <w:color w:val="000000"/>
          <w:sz w:val="32"/>
          <w:szCs w:val="32"/>
        </w:rPr>
        <w:t>0</w:t>
      </w:r>
      <w:r>
        <w:rPr>
          <w:rFonts w:ascii="仿宋" w:hAnsi="仿宋" w:eastAsia="仿宋"/>
          <w:color w:val="000000"/>
          <w:sz w:val="32"/>
          <w:szCs w:val="32"/>
        </w:rPr>
        <w:t>分钟。计时从参赛选手以任何形式（包括语言、PPT、VCR等）展示作品开始计算。</w:t>
      </w:r>
    </w:p>
    <w:p>
      <w:pPr>
        <w:spacing w:line="600" w:lineRule="exact"/>
        <w:ind w:firstLine="640" w:firstLineChars="200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三、成绩评定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对每名选手按教学方案设计评审、说课评审各占50%的比重计算总评分，</w:t>
      </w:r>
      <w:r>
        <w:rPr>
          <w:rFonts w:ascii="仿宋" w:hAnsi="仿宋" w:eastAsia="仿宋"/>
          <w:color w:val="000000"/>
          <w:sz w:val="32"/>
          <w:szCs w:val="32"/>
        </w:rPr>
        <w:t>根据</w:t>
      </w:r>
      <w:r>
        <w:rPr>
          <w:rFonts w:hint="eastAsia" w:ascii="仿宋" w:hAnsi="仿宋" w:eastAsia="仿宋"/>
          <w:color w:val="000000"/>
          <w:sz w:val="32"/>
          <w:szCs w:val="32"/>
        </w:rPr>
        <w:t>两个项目的总</w:t>
      </w:r>
      <w:r>
        <w:rPr>
          <w:rFonts w:ascii="仿宋" w:hAnsi="仿宋" w:eastAsia="仿宋"/>
          <w:color w:val="000000"/>
          <w:sz w:val="32"/>
          <w:szCs w:val="32"/>
        </w:rPr>
        <w:t>评分分别排名。</w:t>
      </w:r>
    </w:p>
    <w:p>
      <w:pPr>
        <w:spacing w:line="480" w:lineRule="exact"/>
        <w:jc w:val="center"/>
        <w:rPr>
          <w:rFonts w:hint="eastAsia" w:ascii="宋体" w:hAnsi="宋体" w:cs="宋体"/>
          <w:b/>
          <w:bCs/>
          <w:color w:val="000000"/>
          <w:w w:val="80"/>
          <w:sz w:val="44"/>
          <w:szCs w:val="44"/>
        </w:rPr>
      </w:pPr>
      <w:r>
        <w:rPr>
          <w:rFonts w:eastAsia="仿宋_GB2312"/>
          <w:color w:val="000000"/>
          <w:sz w:val="32"/>
          <w:szCs w:val="32"/>
        </w:rPr>
        <w:br w:type="page"/>
      </w:r>
      <w:r>
        <w:rPr>
          <w:rFonts w:hint="eastAsia" w:ascii="宋体" w:hAnsi="宋体" w:cs="宋体"/>
          <w:b/>
          <w:bCs/>
          <w:color w:val="000000"/>
          <w:w w:val="80"/>
          <w:sz w:val="44"/>
          <w:szCs w:val="44"/>
        </w:rPr>
        <w:t>第一届全省技工院校教师职业能力大赛评价表</w:t>
      </w:r>
    </w:p>
    <w:p>
      <w:pPr>
        <w:spacing w:line="360" w:lineRule="exact"/>
        <w:rPr>
          <w:b/>
          <w:color w:val="000000"/>
          <w:sz w:val="10"/>
          <w:szCs w:val="10"/>
        </w:rPr>
      </w:pPr>
    </w:p>
    <w:p>
      <w:pPr>
        <w:spacing w:line="360" w:lineRule="exact"/>
        <w:rPr>
          <w:rFonts w:eastAsia="仿宋_GB2312"/>
          <w:b/>
          <w:color w:val="000000"/>
          <w:sz w:val="24"/>
        </w:rPr>
      </w:pPr>
      <w:r>
        <w:rPr>
          <w:b/>
          <w:color w:val="000000"/>
          <w:sz w:val="28"/>
          <w:szCs w:val="28"/>
        </w:rPr>
        <w:t>参赛作品编号（选手抽签序号）：</w:t>
      </w:r>
    </w:p>
    <w:tbl>
      <w:tblPr>
        <w:tblStyle w:val="2"/>
        <w:tblW w:w="10065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5671"/>
        <w:gridCol w:w="1558"/>
        <w:gridCol w:w="1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评价</w:t>
            </w:r>
          </w:p>
          <w:p>
            <w:pPr>
              <w:spacing w:line="4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项目</w:t>
            </w:r>
          </w:p>
        </w:tc>
        <w:tc>
          <w:tcPr>
            <w:tcW w:w="722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评  价  内  容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评价分数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722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10</w:t>
            </w:r>
            <w:r>
              <w:rPr>
                <w:rFonts w:hint="eastAsia"/>
                <w:b/>
                <w:color w:val="000000"/>
                <w:sz w:val="24"/>
              </w:rPr>
              <w:t>—</w:t>
            </w:r>
            <w:r>
              <w:rPr>
                <w:b/>
                <w:color w:val="00000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教学</w:t>
            </w:r>
          </w:p>
          <w:p>
            <w:pPr>
              <w:spacing w:line="4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设计</w:t>
            </w:r>
          </w:p>
        </w:tc>
        <w:tc>
          <w:tcPr>
            <w:tcW w:w="7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</w:t>
            </w:r>
            <w:r>
              <w:rPr>
                <w:b/>
                <w:color w:val="000000"/>
                <w:sz w:val="24"/>
              </w:rPr>
              <w:t>选题价值。</w:t>
            </w:r>
            <w:r>
              <w:rPr>
                <w:color w:val="000000"/>
                <w:sz w:val="24"/>
              </w:rPr>
              <w:t>选</w:t>
            </w:r>
            <w:r>
              <w:rPr>
                <w:rFonts w:hint="eastAsia"/>
                <w:color w:val="000000"/>
                <w:sz w:val="24"/>
              </w:rPr>
              <w:t>取</w:t>
            </w:r>
            <w:r>
              <w:rPr>
                <w:color w:val="000000"/>
                <w:sz w:val="24"/>
              </w:rPr>
              <w:t>相对独立、完整的人文素质/职业学习活动或来自一体化课程学习任务的某一具体内容，具有典型性。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7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2.</w:t>
            </w:r>
            <w:r>
              <w:rPr>
                <w:b/>
                <w:color w:val="000000"/>
                <w:sz w:val="24"/>
              </w:rPr>
              <w:t>学习目标。</w:t>
            </w:r>
            <w:r>
              <w:rPr>
                <w:color w:val="000000"/>
                <w:sz w:val="24"/>
              </w:rPr>
              <w:t>能够反映学生职业素养与综合职业能力的要求，并能结合学生实际，明确、具体且可操作性强。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7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3.</w:t>
            </w:r>
            <w:r>
              <w:rPr>
                <w:b/>
                <w:color w:val="000000"/>
                <w:sz w:val="24"/>
              </w:rPr>
              <w:t>学习内容。</w:t>
            </w:r>
            <w:r>
              <w:rPr>
                <w:color w:val="000000"/>
                <w:sz w:val="24"/>
              </w:rPr>
              <w:t>包括理论知识和实践知识及工作的各项要素要求，与人文素质养成或企业生产过程紧密相关。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7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4.</w:t>
            </w:r>
            <w:r>
              <w:rPr>
                <w:b/>
                <w:color w:val="000000"/>
                <w:sz w:val="24"/>
              </w:rPr>
              <w:t>学习资源。</w:t>
            </w:r>
            <w:r>
              <w:rPr>
                <w:color w:val="000000"/>
                <w:sz w:val="24"/>
              </w:rPr>
              <w:t>学习资源设计能体现学生在问题引导下的学习，学习环境设计与社会生活或工作环境要求尽可能相一致。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教学</w:t>
            </w:r>
          </w:p>
          <w:p>
            <w:pPr>
              <w:spacing w:line="4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实施</w:t>
            </w:r>
          </w:p>
        </w:tc>
        <w:tc>
          <w:tcPr>
            <w:tcW w:w="7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5.</w:t>
            </w:r>
            <w:r>
              <w:rPr>
                <w:b/>
                <w:color w:val="000000"/>
                <w:sz w:val="24"/>
              </w:rPr>
              <w:t>学生投入。</w:t>
            </w:r>
            <w:r>
              <w:rPr>
                <w:color w:val="000000"/>
                <w:sz w:val="24"/>
              </w:rPr>
              <w:t>学习氛围良好，学生的学习积极性高，对学习感兴趣，能积极有效地投入到学习活动中。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7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6.</w:t>
            </w:r>
            <w:r>
              <w:rPr>
                <w:b/>
                <w:color w:val="000000"/>
                <w:sz w:val="24"/>
              </w:rPr>
              <w:t>教学手段。</w:t>
            </w:r>
            <w:r>
              <w:rPr>
                <w:color w:val="000000"/>
                <w:sz w:val="24"/>
              </w:rPr>
              <w:t>有效支持学习活动的开展，利用多种教学媒体以及信息化手段和数字化资源，选择与组合好，新颖、富有创意。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7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7.</w:t>
            </w:r>
            <w:r>
              <w:rPr>
                <w:b/>
                <w:color w:val="000000"/>
                <w:sz w:val="24"/>
              </w:rPr>
              <w:t>教学方法。</w:t>
            </w:r>
            <w:r>
              <w:rPr>
                <w:color w:val="000000"/>
                <w:sz w:val="24"/>
              </w:rPr>
              <w:t>体现以学生为中心、行动导向的教学理念，采用混合式学习，重视学生的适应与接纳，形式灵活</w:t>
            </w:r>
            <w:r>
              <w:rPr>
                <w:rFonts w:hint="eastAsia"/>
                <w:color w:val="000000"/>
                <w:sz w:val="24"/>
              </w:rPr>
              <w:t>，</w:t>
            </w:r>
            <w:r>
              <w:rPr>
                <w:color w:val="000000"/>
                <w:sz w:val="24"/>
              </w:rPr>
              <w:t>方法有效。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9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7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8.</w:t>
            </w:r>
            <w:r>
              <w:rPr>
                <w:b/>
                <w:color w:val="000000"/>
                <w:sz w:val="24"/>
              </w:rPr>
              <w:t>教学视频。</w:t>
            </w:r>
            <w:r>
              <w:rPr>
                <w:color w:val="000000"/>
                <w:sz w:val="24"/>
              </w:rPr>
              <w:t>节选视频时长不超过8分钟，视频声音清楚、画面清晰、图像稳定，声音与画面同步，反映学与教的情况。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教学</w:t>
            </w:r>
          </w:p>
          <w:p>
            <w:pPr>
              <w:spacing w:line="4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评价</w:t>
            </w:r>
          </w:p>
        </w:tc>
        <w:tc>
          <w:tcPr>
            <w:tcW w:w="7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9.</w:t>
            </w:r>
            <w:r>
              <w:rPr>
                <w:b/>
                <w:color w:val="000000"/>
                <w:sz w:val="24"/>
              </w:rPr>
              <w:t>学业评价。</w:t>
            </w:r>
            <w:r>
              <w:rPr>
                <w:color w:val="000000"/>
                <w:sz w:val="24"/>
              </w:rPr>
              <w:t>评价方式方法合理，易于操作，能有效解决实际教学问题，促进学生思维提升和素养与综合职业能力的提高。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大赛</w:t>
            </w:r>
          </w:p>
          <w:p>
            <w:pPr>
              <w:spacing w:line="4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选项</w:t>
            </w:r>
          </w:p>
        </w:tc>
        <w:tc>
          <w:tcPr>
            <w:tcW w:w="7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10-1.</w:t>
            </w:r>
            <w:r>
              <w:rPr>
                <w:b/>
                <w:color w:val="000000"/>
                <w:sz w:val="24"/>
              </w:rPr>
              <w:t>教学方案文本。</w:t>
            </w:r>
            <w:r>
              <w:rPr>
                <w:color w:val="000000"/>
                <w:sz w:val="24"/>
              </w:rPr>
              <w:t>所提交的教学设计文本</w:t>
            </w:r>
            <w:r>
              <w:rPr>
                <w:rFonts w:hint="eastAsia"/>
                <w:color w:val="000000"/>
                <w:sz w:val="24"/>
              </w:rPr>
              <w:t>及</w:t>
            </w:r>
            <w:r>
              <w:rPr>
                <w:color w:val="000000"/>
                <w:sz w:val="24"/>
              </w:rPr>
              <w:t>教学视频体例规范，内容全面，文字通顺，图表符合技术规范要求，表述清晰。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9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7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10-2.</w:t>
            </w:r>
            <w:r>
              <w:rPr>
                <w:b/>
                <w:color w:val="000000"/>
                <w:sz w:val="24"/>
              </w:rPr>
              <w:t>说课与答辩要求。</w:t>
            </w:r>
            <w:r>
              <w:rPr>
                <w:color w:val="000000"/>
                <w:sz w:val="24"/>
              </w:rPr>
              <w:t>准确理解评委的提问，回答问题所陈述的观点正确，内容全面，层次分明，逻辑思路清晰。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" w:hRule="atLeast"/>
        </w:trPr>
        <w:tc>
          <w:tcPr>
            <w:tcW w:w="666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总评意见：</w:t>
            </w:r>
          </w:p>
          <w:p>
            <w:pPr>
              <w:spacing w:line="400" w:lineRule="exact"/>
              <w:rPr>
                <w:b/>
                <w:color w:val="000000"/>
                <w:sz w:val="24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评价总分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666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评委签名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b/>
                <w:color w:val="000000"/>
                <w:sz w:val="24"/>
              </w:rPr>
            </w:pPr>
          </w:p>
        </w:tc>
      </w:tr>
    </w:tbl>
    <w:p>
      <w:pPr>
        <w:spacing w:line="480" w:lineRule="exact"/>
        <w:rPr>
          <w:color w:val="000000"/>
          <w:sz w:val="24"/>
        </w:rPr>
      </w:pPr>
      <w:r>
        <w:rPr>
          <w:color w:val="000000"/>
          <w:sz w:val="24"/>
        </w:rPr>
        <w:t>注：本表1-9条目为适用于教学方案设计、说课与答辩</w:t>
      </w:r>
      <w:r>
        <w:rPr>
          <w:rFonts w:hint="eastAsia"/>
          <w:color w:val="000000"/>
          <w:sz w:val="24"/>
        </w:rPr>
        <w:t>大赛</w:t>
      </w:r>
      <w:r>
        <w:rPr>
          <w:color w:val="000000"/>
          <w:sz w:val="24"/>
        </w:rPr>
        <w:t>的共同指标。</w:t>
      </w:r>
    </w:p>
    <w:p>
      <w:pPr>
        <w:spacing w:before="156" w:beforeLines="50" w:line="480" w:lineRule="exact"/>
        <w:jc w:val="right"/>
        <w:rPr>
          <w:rFonts w:hint="eastAsia"/>
        </w:rPr>
      </w:pPr>
      <w:r>
        <w:rPr>
          <w:rFonts w:hint="eastAsia"/>
          <w:b/>
          <w:color w:val="000000"/>
          <w:sz w:val="24"/>
        </w:rPr>
        <w:t>第一届</w:t>
      </w:r>
      <w:r>
        <w:rPr>
          <w:b/>
          <w:color w:val="000000"/>
          <w:sz w:val="24"/>
        </w:rPr>
        <w:t>全</w:t>
      </w:r>
      <w:r>
        <w:rPr>
          <w:rFonts w:hint="eastAsia"/>
          <w:b/>
          <w:color w:val="000000"/>
          <w:sz w:val="24"/>
        </w:rPr>
        <w:t>省</w:t>
      </w:r>
      <w:r>
        <w:rPr>
          <w:b/>
          <w:color w:val="000000"/>
          <w:sz w:val="24"/>
        </w:rPr>
        <w:t>技工院校教师职业能力</w:t>
      </w:r>
      <w:r>
        <w:rPr>
          <w:rFonts w:hint="eastAsia"/>
          <w:b/>
          <w:color w:val="000000"/>
          <w:sz w:val="24"/>
        </w:rPr>
        <w:t>大赛</w:t>
      </w:r>
      <w:r>
        <w:rPr>
          <w:b/>
          <w:color w:val="000000"/>
          <w:sz w:val="24"/>
        </w:rPr>
        <w:t>工作办公室制表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E905D9"/>
    <w:rsid w:val="2EE9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2019-06-19T08:24:00Z</dcterms:created>
  <dc:creator>Administrator</dc:creator>
  <cp:lastModifiedBy>Administrator</cp:lastModifiedBy>
  <dcterms:modified xsi:type="dcterms:W3CDTF">2019-06-19T08:25:54Z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